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B7" w:rsidRDefault="00CB13B7" w:rsidP="00CB13B7">
      <w:pPr>
        <w:overflowPunct w:val="0"/>
        <w:autoSpaceDE w:val="0"/>
        <w:adjustRightInd w:val="0"/>
        <w:spacing w:line="276" w:lineRule="auto"/>
        <w:jc w:val="center"/>
        <w:rPr>
          <w:rFonts w:ascii="Times Roman" w:hAnsi="Times Roman" w:cs="Arial"/>
          <w:b/>
        </w:rPr>
      </w:pPr>
      <w:r>
        <w:rPr>
          <w:rFonts w:ascii="Times Roman" w:hAnsi="Times Roman" w:cs="Arial"/>
          <w:b/>
        </w:rPr>
        <w:t xml:space="preserve">Ostoros Községi Önkormányzat </w:t>
      </w:r>
    </w:p>
    <w:p w:rsidR="00CB13B7" w:rsidRDefault="00CB13B7" w:rsidP="00CB13B7">
      <w:pPr>
        <w:overflowPunct w:val="0"/>
        <w:autoSpaceDE w:val="0"/>
        <w:adjustRightInd w:val="0"/>
        <w:spacing w:line="276" w:lineRule="auto"/>
        <w:jc w:val="center"/>
        <w:rPr>
          <w:rFonts w:ascii="Times Roman" w:hAnsi="Times Roman" w:cs="Arial"/>
          <w:b/>
        </w:rPr>
      </w:pPr>
      <w:r>
        <w:rPr>
          <w:rFonts w:ascii="Times Roman" w:hAnsi="Times Roman" w:cs="Arial"/>
          <w:b/>
        </w:rPr>
        <w:t>14/2015.(IX.30.) önkormányzati rendelete</w:t>
      </w:r>
    </w:p>
    <w:p w:rsidR="00CB13B7" w:rsidRDefault="00CB13B7" w:rsidP="00CB13B7">
      <w:pPr>
        <w:overflowPunct w:val="0"/>
        <w:autoSpaceDE w:val="0"/>
        <w:adjustRightInd w:val="0"/>
        <w:spacing w:line="276" w:lineRule="auto"/>
        <w:jc w:val="center"/>
        <w:rPr>
          <w:rFonts w:ascii="Times Roman" w:hAnsi="Times Roman" w:cs="Arial"/>
          <w:b/>
        </w:rPr>
      </w:pPr>
      <w:r>
        <w:rPr>
          <w:rFonts w:ascii="Times Roman" w:hAnsi="Times Roman" w:cs="Arial"/>
          <w:b/>
        </w:rPr>
        <w:t xml:space="preserve">a Bursa Hungarica Felsőoktatási Önkormányzati Ösztöndíjrendszer </w:t>
      </w:r>
    </w:p>
    <w:p w:rsidR="00CB13B7" w:rsidRDefault="00CB13B7" w:rsidP="00CB13B7">
      <w:pPr>
        <w:overflowPunct w:val="0"/>
        <w:autoSpaceDE w:val="0"/>
        <w:adjustRightInd w:val="0"/>
        <w:spacing w:line="276" w:lineRule="auto"/>
        <w:jc w:val="center"/>
        <w:rPr>
          <w:rFonts w:ascii="Times Roman" w:hAnsi="Times Roman" w:cs="Arial"/>
          <w:b/>
        </w:rPr>
      </w:pPr>
      <w:r>
        <w:rPr>
          <w:rFonts w:ascii="Times Roman" w:hAnsi="Times Roman" w:cs="Arial"/>
          <w:b/>
        </w:rPr>
        <w:t xml:space="preserve">helyi szabályairól szóló </w:t>
      </w:r>
      <w:r w:rsidRPr="00EE6834">
        <w:rPr>
          <w:rFonts w:ascii="Times Roman" w:hAnsi="Times Roman" w:cs="Arial"/>
          <w:b/>
        </w:rPr>
        <w:t>9/2014. (X. 4.) önkormányzati rendelet</w:t>
      </w:r>
      <w:r>
        <w:rPr>
          <w:rFonts w:ascii="Times Roman" w:hAnsi="Times Roman" w:cs="Arial"/>
          <w:b/>
        </w:rPr>
        <w:t xml:space="preserve"> módosításáról</w:t>
      </w:r>
    </w:p>
    <w:p w:rsidR="00FB3F23" w:rsidRPr="00EE6834" w:rsidRDefault="00FB3F23" w:rsidP="00CB13B7">
      <w:pPr>
        <w:overflowPunct w:val="0"/>
        <w:autoSpaceDE w:val="0"/>
        <w:adjustRightInd w:val="0"/>
        <w:spacing w:line="276" w:lineRule="auto"/>
        <w:jc w:val="center"/>
        <w:rPr>
          <w:rFonts w:ascii="Times Roman" w:hAnsi="Times Roman" w:cs="Arial"/>
          <w:b/>
        </w:rPr>
      </w:pPr>
      <w:r>
        <w:rPr>
          <w:rFonts w:ascii="Times Roman" w:hAnsi="Times Roman" w:cs="Arial"/>
          <w:b/>
        </w:rPr>
        <w:t>(egységes szerkezetben)</w:t>
      </w:r>
    </w:p>
    <w:p w:rsidR="00CB13B7" w:rsidRPr="00EE6834" w:rsidRDefault="00CB13B7" w:rsidP="00CB13B7">
      <w:pPr>
        <w:overflowPunct w:val="0"/>
        <w:autoSpaceDE w:val="0"/>
        <w:adjustRightInd w:val="0"/>
        <w:jc w:val="center"/>
        <w:rPr>
          <w:rFonts w:ascii="Times Roman" w:hAnsi="Times Roman" w:cs="Arial"/>
          <w:b/>
        </w:rPr>
      </w:pPr>
    </w:p>
    <w:p w:rsidR="00CB13B7" w:rsidRDefault="00CB13B7" w:rsidP="00CB13B7">
      <w:pPr>
        <w:kinsoku w:val="0"/>
        <w:overflowPunct w:val="0"/>
        <w:ind w:right="112"/>
        <w:jc w:val="both"/>
        <w:rPr>
          <w:iCs/>
          <w:spacing w:val="-9"/>
        </w:rPr>
      </w:pPr>
      <w:r w:rsidRPr="00EE6834">
        <w:rPr>
          <w:iCs/>
          <w:spacing w:val="-1"/>
        </w:rPr>
        <w:t>Ostoros Községi</w:t>
      </w:r>
      <w:r w:rsidRPr="00EE6834">
        <w:rPr>
          <w:iCs/>
          <w:spacing w:val="22"/>
        </w:rPr>
        <w:t xml:space="preserve"> </w:t>
      </w:r>
      <w:r w:rsidRPr="00EE6834">
        <w:rPr>
          <w:iCs/>
          <w:spacing w:val="-1"/>
        </w:rPr>
        <w:t>Önkormányzat</w:t>
      </w:r>
      <w:r w:rsidRPr="00EE6834">
        <w:rPr>
          <w:iCs/>
          <w:spacing w:val="21"/>
        </w:rPr>
        <w:t xml:space="preserve"> </w:t>
      </w:r>
      <w:r w:rsidRPr="00EE6834">
        <w:rPr>
          <w:iCs/>
          <w:spacing w:val="-1"/>
        </w:rPr>
        <w:t>Képviselő-testülete</w:t>
      </w:r>
      <w:r w:rsidRPr="00EE6834">
        <w:rPr>
          <w:iCs/>
          <w:spacing w:val="21"/>
        </w:rPr>
        <w:t xml:space="preserve"> </w:t>
      </w:r>
      <w:r w:rsidRPr="00EE6834">
        <w:rPr>
          <w:iCs/>
        </w:rPr>
        <w:t>az</w:t>
      </w:r>
      <w:r w:rsidRPr="00EE6834">
        <w:rPr>
          <w:iCs/>
          <w:spacing w:val="21"/>
        </w:rPr>
        <w:t xml:space="preserve"> </w:t>
      </w:r>
      <w:r w:rsidRPr="00EE6834">
        <w:rPr>
          <w:iCs/>
          <w:spacing w:val="-1"/>
        </w:rPr>
        <w:t>Alaptörvény</w:t>
      </w:r>
      <w:r w:rsidRPr="00EE6834">
        <w:rPr>
          <w:iCs/>
          <w:spacing w:val="21"/>
        </w:rPr>
        <w:t xml:space="preserve"> </w:t>
      </w:r>
      <w:r w:rsidRPr="00EE6834">
        <w:rPr>
          <w:iCs/>
        </w:rPr>
        <w:t>32.</w:t>
      </w:r>
      <w:r w:rsidRPr="00EE6834">
        <w:rPr>
          <w:iCs/>
          <w:spacing w:val="21"/>
        </w:rPr>
        <w:t xml:space="preserve"> </w:t>
      </w:r>
      <w:r w:rsidRPr="00EE6834">
        <w:rPr>
          <w:iCs/>
        </w:rPr>
        <w:t>cikk</w:t>
      </w:r>
      <w:r w:rsidRPr="00EE6834">
        <w:rPr>
          <w:iCs/>
          <w:spacing w:val="21"/>
        </w:rPr>
        <w:t xml:space="preserve"> </w:t>
      </w:r>
      <w:r w:rsidRPr="00EE6834">
        <w:rPr>
          <w:iCs/>
        </w:rPr>
        <w:t>(2)</w:t>
      </w:r>
      <w:r w:rsidRPr="00EE6834">
        <w:rPr>
          <w:iCs/>
          <w:spacing w:val="21"/>
        </w:rPr>
        <w:t xml:space="preserve"> </w:t>
      </w:r>
      <w:r w:rsidRPr="00EE6834">
        <w:rPr>
          <w:iCs/>
        </w:rPr>
        <w:t>bekezdésében</w:t>
      </w:r>
      <w:r w:rsidRPr="00EE6834">
        <w:rPr>
          <w:iCs/>
          <w:spacing w:val="49"/>
          <w:w w:val="99"/>
        </w:rPr>
        <w:t xml:space="preserve"> </w:t>
      </w:r>
      <w:r w:rsidRPr="00EE6834">
        <w:rPr>
          <w:iCs/>
        </w:rPr>
        <w:t>kapott</w:t>
      </w:r>
      <w:r w:rsidRPr="00EE6834">
        <w:rPr>
          <w:iCs/>
          <w:spacing w:val="30"/>
        </w:rPr>
        <w:t xml:space="preserve"> </w:t>
      </w:r>
      <w:r w:rsidRPr="00EE6834">
        <w:rPr>
          <w:iCs/>
          <w:spacing w:val="-1"/>
        </w:rPr>
        <w:t>felhatalmazás</w:t>
      </w:r>
      <w:r w:rsidRPr="00EE6834">
        <w:rPr>
          <w:iCs/>
          <w:spacing w:val="29"/>
        </w:rPr>
        <w:t xml:space="preserve"> </w:t>
      </w:r>
      <w:r w:rsidRPr="00EE6834">
        <w:rPr>
          <w:iCs/>
        </w:rPr>
        <w:t>alapján</w:t>
      </w:r>
      <w:r w:rsidRPr="00EE6834">
        <w:rPr>
          <w:iCs/>
          <w:spacing w:val="30"/>
        </w:rPr>
        <w:t xml:space="preserve"> </w:t>
      </w:r>
      <w:r w:rsidRPr="00EE6834">
        <w:rPr>
          <w:iCs/>
        </w:rPr>
        <w:t>és</w:t>
      </w:r>
      <w:r w:rsidRPr="00EE6834">
        <w:rPr>
          <w:iCs/>
          <w:spacing w:val="29"/>
        </w:rPr>
        <w:t xml:space="preserve"> </w:t>
      </w:r>
      <w:r w:rsidRPr="00EE6834">
        <w:rPr>
          <w:iCs/>
        </w:rPr>
        <w:t>a</w:t>
      </w:r>
      <w:r w:rsidRPr="00EE6834">
        <w:rPr>
          <w:iCs/>
          <w:spacing w:val="29"/>
        </w:rPr>
        <w:t xml:space="preserve"> </w:t>
      </w:r>
      <w:r w:rsidRPr="00EE6834">
        <w:rPr>
          <w:iCs/>
        </w:rPr>
        <w:t>32.</w:t>
      </w:r>
      <w:r w:rsidRPr="00EE6834">
        <w:rPr>
          <w:iCs/>
          <w:spacing w:val="30"/>
        </w:rPr>
        <w:t xml:space="preserve"> </w:t>
      </w:r>
      <w:r w:rsidRPr="00EE6834">
        <w:rPr>
          <w:iCs/>
        </w:rPr>
        <w:t>cikk</w:t>
      </w:r>
      <w:r w:rsidRPr="00EE6834">
        <w:rPr>
          <w:iCs/>
          <w:spacing w:val="28"/>
        </w:rPr>
        <w:t xml:space="preserve"> </w:t>
      </w:r>
      <w:r w:rsidRPr="00EE6834">
        <w:rPr>
          <w:iCs/>
        </w:rPr>
        <w:t>(1)</w:t>
      </w:r>
      <w:r w:rsidRPr="00EE6834">
        <w:rPr>
          <w:iCs/>
          <w:spacing w:val="30"/>
        </w:rPr>
        <w:t xml:space="preserve"> </w:t>
      </w:r>
      <w:r w:rsidRPr="00EE6834">
        <w:rPr>
          <w:iCs/>
        </w:rPr>
        <w:t>bekezdés</w:t>
      </w:r>
      <w:r w:rsidRPr="00EE6834">
        <w:rPr>
          <w:iCs/>
          <w:spacing w:val="31"/>
        </w:rPr>
        <w:t xml:space="preserve"> </w:t>
      </w:r>
      <w:r w:rsidRPr="00EE6834">
        <w:rPr>
          <w:iCs/>
        </w:rPr>
        <w:t>a.)</w:t>
      </w:r>
      <w:r w:rsidRPr="00EE6834">
        <w:rPr>
          <w:iCs/>
          <w:spacing w:val="29"/>
        </w:rPr>
        <w:t xml:space="preserve"> </w:t>
      </w:r>
      <w:r w:rsidRPr="00EE6834">
        <w:rPr>
          <w:iCs/>
        </w:rPr>
        <w:t>pontjában</w:t>
      </w:r>
      <w:r w:rsidRPr="00EE6834">
        <w:rPr>
          <w:iCs/>
          <w:spacing w:val="30"/>
        </w:rPr>
        <w:t xml:space="preserve"> </w:t>
      </w:r>
      <w:r w:rsidRPr="00EE6834">
        <w:rPr>
          <w:iCs/>
          <w:spacing w:val="-1"/>
        </w:rPr>
        <w:t>meghatározott</w:t>
      </w:r>
      <w:r w:rsidRPr="00EE6834">
        <w:rPr>
          <w:iCs/>
          <w:spacing w:val="39"/>
          <w:w w:val="99"/>
        </w:rPr>
        <w:t xml:space="preserve"> </w:t>
      </w:r>
      <w:r w:rsidRPr="00EE6834">
        <w:rPr>
          <w:iCs/>
        </w:rPr>
        <w:t>feladatkörében</w:t>
      </w:r>
      <w:r w:rsidRPr="00EE6834">
        <w:rPr>
          <w:iCs/>
          <w:spacing w:val="-10"/>
        </w:rPr>
        <w:t xml:space="preserve"> </w:t>
      </w:r>
      <w:r w:rsidRPr="00EE6834">
        <w:rPr>
          <w:iCs/>
        </w:rPr>
        <w:t>eljárva</w:t>
      </w:r>
      <w:r w:rsidRPr="00EE6834">
        <w:rPr>
          <w:iCs/>
          <w:spacing w:val="-9"/>
        </w:rPr>
        <w:t xml:space="preserve"> </w:t>
      </w:r>
      <w:r>
        <w:rPr>
          <w:iCs/>
          <w:spacing w:val="-9"/>
        </w:rPr>
        <w:t xml:space="preserve">önkormányzati rendeletét az alábbiak szerint módosítja: </w:t>
      </w:r>
    </w:p>
    <w:p w:rsidR="00CB13B7" w:rsidRPr="00EE6834" w:rsidRDefault="00CB13B7" w:rsidP="00CB13B7">
      <w:pPr>
        <w:kinsoku w:val="0"/>
        <w:overflowPunct w:val="0"/>
        <w:ind w:right="112"/>
        <w:jc w:val="both"/>
        <w:rPr>
          <w:iCs/>
        </w:rPr>
      </w:pPr>
    </w:p>
    <w:p w:rsidR="00CB13B7" w:rsidRPr="00CB13B7" w:rsidRDefault="00CB13B7" w:rsidP="00CB13B7">
      <w:pPr>
        <w:pStyle w:val="Listaszerbekezds"/>
        <w:numPr>
          <w:ilvl w:val="0"/>
          <w:numId w:val="3"/>
        </w:numPr>
        <w:overflowPunct w:val="0"/>
        <w:autoSpaceDE w:val="0"/>
        <w:adjustRightInd w:val="0"/>
        <w:jc w:val="center"/>
        <w:rPr>
          <w:b/>
        </w:rPr>
      </w:pPr>
      <w:r w:rsidRPr="00CB13B7">
        <w:rPr>
          <w:b/>
        </w:rPr>
        <w:t>§</w:t>
      </w:r>
    </w:p>
    <w:p w:rsidR="00CB13B7" w:rsidRDefault="00CB13B7" w:rsidP="00CB13B7">
      <w:pPr>
        <w:overflowPunct w:val="0"/>
        <w:autoSpaceDE w:val="0"/>
        <w:adjustRightInd w:val="0"/>
      </w:pPr>
      <w:r>
        <w:t>A rendelet 3. § (1) bekezdése az alábbiak szerint módosul:</w:t>
      </w:r>
    </w:p>
    <w:p w:rsidR="00CB13B7" w:rsidRPr="00EE6834" w:rsidRDefault="00CB13B7" w:rsidP="00CB13B7">
      <w:pPr>
        <w:ind w:left="709" w:hanging="703"/>
        <w:jc w:val="both"/>
      </w:pPr>
      <w:r>
        <w:t>„</w:t>
      </w:r>
      <w:r w:rsidRPr="00EE6834">
        <w:t>(1)</w:t>
      </w:r>
      <w:r w:rsidRPr="00EE6834">
        <w:tab/>
        <w:t>Az ösztöndíjra való jogosultság megállapítása szempontjából szociálisan rászorulónak kell tekinteni azt a pályázót, akinek családjában az egy főre jutó havi jövedelem nem haladja meg a mindenkori öregségi nyugdíj legkisebb összegének 1</w:t>
      </w:r>
      <w:r>
        <w:t>75</w:t>
      </w:r>
      <w:r w:rsidRPr="00EE6834">
        <w:t xml:space="preserve"> %-át.</w:t>
      </w:r>
      <w:r>
        <w:t>”</w:t>
      </w:r>
    </w:p>
    <w:p w:rsidR="00CB13B7" w:rsidRPr="00EE6834" w:rsidRDefault="00CB13B7" w:rsidP="00CB13B7">
      <w:pPr>
        <w:overflowPunct w:val="0"/>
        <w:autoSpaceDE w:val="0"/>
        <w:adjustRightInd w:val="0"/>
        <w:jc w:val="center"/>
      </w:pPr>
    </w:p>
    <w:p w:rsidR="00CB13B7" w:rsidRPr="00CB13B7" w:rsidRDefault="00CB13B7" w:rsidP="00CB13B7">
      <w:pPr>
        <w:pStyle w:val="Listaszerbekezds"/>
        <w:numPr>
          <w:ilvl w:val="0"/>
          <w:numId w:val="3"/>
        </w:numPr>
        <w:overflowPunct w:val="0"/>
        <w:autoSpaceDE w:val="0"/>
        <w:adjustRightInd w:val="0"/>
        <w:jc w:val="center"/>
        <w:rPr>
          <w:b/>
        </w:rPr>
      </w:pPr>
      <w:r w:rsidRPr="00CB13B7">
        <w:rPr>
          <w:b/>
        </w:rPr>
        <w:t>§</w:t>
      </w:r>
    </w:p>
    <w:p w:rsidR="00CB13B7" w:rsidRDefault="00CB13B7" w:rsidP="00CB13B7">
      <w:pPr>
        <w:overflowPunct w:val="0"/>
        <w:autoSpaceDE w:val="0"/>
        <w:adjustRightInd w:val="0"/>
      </w:pPr>
      <w:r>
        <w:t>A rendelet 4. § (2) bekezdése az alábbiak szerint módosul:</w:t>
      </w:r>
      <w:bookmarkStart w:id="0" w:name="_GoBack"/>
      <w:bookmarkEnd w:id="0"/>
    </w:p>
    <w:p w:rsidR="00CB13B7" w:rsidRPr="00EE6834" w:rsidRDefault="00CB13B7" w:rsidP="00CB13B7">
      <w:pPr>
        <w:overflowPunct w:val="0"/>
        <w:autoSpaceDE w:val="0"/>
        <w:adjustRightInd w:val="0"/>
        <w:ind w:left="705" w:hanging="705"/>
        <w:jc w:val="both"/>
      </w:pPr>
    </w:p>
    <w:p w:rsidR="00CB13B7" w:rsidRPr="00EE6834" w:rsidRDefault="00CB13B7" w:rsidP="00CB13B7">
      <w:pPr>
        <w:overflowPunct w:val="0"/>
        <w:autoSpaceDE w:val="0"/>
        <w:adjustRightInd w:val="0"/>
        <w:ind w:left="705" w:hanging="705"/>
        <w:jc w:val="both"/>
      </w:pPr>
      <w:r>
        <w:t>„</w:t>
      </w:r>
      <w:r w:rsidRPr="00EE6834">
        <w:t>(2)</w:t>
      </w:r>
      <w:r w:rsidRPr="00EE6834">
        <w:tab/>
        <w:t xml:space="preserve">A </w:t>
      </w:r>
      <w:r>
        <w:t xml:space="preserve">Humánerőforrás </w:t>
      </w:r>
      <w:r w:rsidRPr="00EE6834">
        <w:t>Bizottság a kérelmező és családja vagyoni helyzetének vizsgálatát rendelheti el, amennyiben valószínűsíthető, hogy a kérelmező életkörülményei nem felelnek meg a jövedelem-nyilatkozatban szereplő adatoknak. A vagyoni helyzet vizsgálata céljából a bizottság a kérelmező lakóhelyén környezettanulmányt készít. Amennyiben megállapítja, hogy az életkörülmények nincsenek összhangban a jövedelem-nyilatkozatban foglaltakkal, a pályázat elutasítható.</w:t>
      </w:r>
      <w:r>
        <w:t>”</w:t>
      </w:r>
    </w:p>
    <w:p w:rsidR="00CB13B7" w:rsidRPr="00EE6834" w:rsidRDefault="00CB13B7" w:rsidP="00CB13B7">
      <w:pPr>
        <w:overflowPunct w:val="0"/>
        <w:autoSpaceDE w:val="0"/>
        <w:adjustRightInd w:val="0"/>
        <w:jc w:val="center"/>
        <w:rPr>
          <w:b/>
        </w:rPr>
      </w:pPr>
    </w:p>
    <w:p w:rsidR="00CB13B7" w:rsidRPr="004C3BCB" w:rsidRDefault="00CB13B7" w:rsidP="00CB13B7">
      <w:pPr>
        <w:pStyle w:val="Listaszerbekezds"/>
        <w:numPr>
          <w:ilvl w:val="0"/>
          <w:numId w:val="1"/>
        </w:numPr>
        <w:overflowPunct w:val="0"/>
        <w:autoSpaceDE w:val="0"/>
        <w:adjustRightInd w:val="0"/>
        <w:jc w:val="center"/>
        <w:rPr>
          <w:b/>
        </w:rPr>
      </w:pPr>
      <w:r>
        <w:rPr>
          <w:b/>
        </w:rPr>
        <w:t>§</w:t>
      </w:r>
    </w:p>
    <w:p w:rsidR="00CB13B7" w:rsidRPr="004C3BCB" w:rsidRDefault="00CB13B7" w:rsidP="00CB13B7">
      <w:pPr>
        <w:overflowPunct w:val="0"/>
        <w:autoSpaceDE w:val="0"/>
        <w:adjustRightInd w:val="0"/>
      </w:pPr>
      <w:r w:rsidRPr="004C3BCB">
        <w:t>A rendelet 7. § (1) bekezdése az alábbiak szerint módosul:</w:t>
      </w:r>
    </w:p>
    <w:p w:rsidR="00CB13B7" w:rsidRPr="00BC745D" w:rsidRDefault="00CB13B7" w:rsidP="00CB13B7">
      <w:pPr>
        <w:ind w:left="709" w:hanging="709"/>
        <w:jc w:val="both"/>
      </w:pPr>
      <w:r w:rsidRPr="00BC745D">
        <w:t>„(1)</w:t>
      </w:r>
      <w:r w:rsidRPr="00BC745D">
        <w:tab/>
        <w:t>Az ösztöndíjra való jogosultság megállapítása a Humán Erőforrás Bizottság hatáskörébe tartozik, aki döntéséről köteles tájékoztatni a képviselő-testületet.”</w:t>
      </w:r>
    </w:p>
    <w:p w:rsidR="00CB13B7" w:rsidRDefault="00CB13B7" w:rsidP="00CB13B7">
      <w:pPr>
        <w:overflowPunct w:val="0"/>
        <w:autoSpaceDE w:val="0"/>
        <w:adjustRightInd w:val="0"/>
        <w:rPr>
          <w:b/>
        </w:rPr>
      </w:pPr>
    </w:p>
    <w:p w:rsidR="00CB13B7" w:rsidRDefault="00CB13B7" w:rsidP="00CB13B7">
      <w:pPr>
        <w:pStyle w:val="Default"/>
        <w:numPr>
          <w:ilvl w:val="0"/>
          <w:numId w:val="1"/>
        </w:numPr>
        <w:jc w:val="center"/>
        <w:rPr>
          <w:b/>
          <w:bCs/>
          <w:iCs/>
        </w:rPr>
      </w:pPr>
      <w:r>
        <w:rPr>
          <w:b/>
          <w:bCs/>
          <w:iCs/>
        </w:rPr>
        <w:t>§</w:t>
      </w:r>
    </w:p>
    <w:p w:rsidR="00CB13B7" w:rsidRPr="004C3BCB" w:rsidRDefault="00CB13B7" w:rsidP="00CB13B7">
      <w:pPr>
        <w:pStyle w:val="Default"/>
        <w:jc w:val="both"/>
        <w:rPr>
          <w:bCs/>
          <w:iCs/>
        </w:rPr>
      </w:pPr>
      <w:r w:rsidRPr="004C3BCB">
        <w:rPr>
          <w:bCs/>
          <w:iCs/>
        </w:rPr>
        <w:t xml:space="preserve">Ostoros Községi Önkormányzat Képviselő-testületének Szervezeti és Működési Szabályzatáról szóló 11/2014. (XI. 28.) önkormányzati rendeletének I. melléklete Humánerőforrás Bizottság címe a következő francia bekezdéssel egészül ki: </w:t>
      </w:r>
    </w:p>
    <w:p w:rsidR="00CB13B7" w:rsidRPr="004C3BCB" w:rsidRDefault="00CB13B7" w:rsidP="00CB13B7">
      <w:pPr>
        <w:pStyle w:val="Default"/>
        <w:jc w:val="both"/>
      </w:pPr>
    </w:p>
    <w:p w:rsidR="00CB13B7" w:rsidRPr="003E5C58" w:rsidRDefault="00CB13B7" w:rsidP="00CB13B7">
      <w:pPr>
        <w:keepLines/>
        <w:autoSpaceDE w:val="0"/>
        <w:autoSpaceDN w:val="0"/>
        <w:adjustRightInd w:val="0"/>
        <w:ind w:left="708"/>
        <w:jc w:val="both"/>
      </w:pPr>
      <w:r>
        <w:t xml:space="preserve">„- </w:t>
      </w:r>
      <w:r w:rsidRPr="003E5C58">
        <w:t>dönt a Bursa Hungarica Felsőoktatási Önkormányzati Ösztöndíjrendszer helyi szabályairól szóló önkormányzati rendelet 7. § (1) bekezdése alapján az ösztöndíjra való jogosultság megállapításáról és a támogatás mértékéről</w:t>
      </w:r>
      <w:r>
        <w:t>”</w:t>
      </w:r>
    </w:p>
    <w:p w:rsidR="00CB13B7" w:rsidRPr="003E5C58" w:rsidRDefault="00CB13B7" w:rsidP="00CB13B7">
      <w:pPr>
        <w:keepLines/>
        <w:ind w:left="709"/>
        <w:jc w:val="both"/>
      </w:pPr>
    </w:p>
    <w:p w:rsidR="00CB13B7" w:rsidRPr="003E5C58" w:rsidRDefault="00CB13B7" w:rsidP="00CB13B7">
      <w:pPr>
        <w:pStyle w:val="Listaszerbekezds"/>
        <w:numPr>
          <w:ilvl w:val="0"/>
          <w:numId w:val="1"/>
        </w:numPr>
        <w:overflowPunct w:val="0"/>
        <w:autoSpaceDE w:val="0"/>
        <w:adjustRightInd w:val="0"/>
        <w:jc w:val="center"/>
        <w:rPr>
          <w:b/>
        </w:rPr>
      </w:pPr>
      <w:r w:rsidRPr="003E5C58">
        <w:rPr>
          <w:b/>
        </w:rPr>
        <w:t>§</w:t>
      </w:r>
    </w:p>
    <w:p w:rsidR="00CB13B7" w:rsidRPr="00EE6834" w:rsidRDefault="00CB13B7" w:rsidP="00CB13B7">
      <w:pPr>
        <w:numPr>
          <w:ilvl w:val="1"/>
          <w:numId w:val="2"/>
        </w:numPr>
        <w:overflowPunct w:val="0"/>
        <w:autoSpaceDE w:val="0"/>
        <w:adjustRightInd w:val="0"/>
        <w:ind w:left="709" w:hanging="709"/>
        <w:jc w:val="both"/>
      </w:pPr>
      <w:r w:rsidRPr="00EE6834">
        <w:t xml:space="preserve">E rendelet kihirdetését követő napon lép hatályba. </w:t>
      </w:r>
    </w:p>
    <w:p w:rsidR="00CB13B7" w:rsidRPr="00EE6834" w:rsidRDefault="00CB13B7" w:rsidP="00CB13B7">
      <w:pPr>
        <w:overflowPunct w:val="0"/>
        <w:autoSpaceDE w:val="0"/>
        <w:adjustRightInd w:val="0"/>
        <w:jc w:val="both"/>
      </w:pPr>
    </w:p>
    <w:p w:rsidR="00CB13B7" w:rsidRPr="00EE6834" w:rsidRDefault="00CB13B7" w:rsidP="00CB13B7">
      <w:pPr>
        <w:tabs>
          <w:tab w:val="center" w:pos="1710"/>
          <w:tab w:val="center" w:pos="6840"/>
        </w:tabs>
        <w:overflowPunct w:val="0"/>
        <w:autoSpaceDE w:val="0"/>
        <w:adjustRightInd w:val="0"/>
        <w:jc w:val="both"/>
        <w:rPr>
          <w:b/>
        </w:rPr>
      </w:pPr>
    </w:p>
    <w:p w:rsidR="00CB13B7" w:rsidRPr="00EE6834" w:rsidRDefault="00CB13B7" w:rsidP="00CB13B7">
      <w:pPr>
        <w:tabs>
          <w:tab w:val="center" w:pos="1710"/>
          <w:tab w:val="center" w:pos="6840"/>
        </w:tabs>
        <w:overflowPunct w:val="0"/>
        <w:autoSpaceDE w:val="0"/>
        <w:adjustRightInd w:val="0"/>
        <w:jc w:val="both"/>
        <w:rPr>
          <w:b/>
        </w:rPr>
      </w:pPr>
      <w:r w:rsidRPr="00EE6834">
        <w:rPr>
          <w:b/>
        </w:rPr>
        <w:t>Kisari Zoltán</w:t>
      </w:r>
      <w:r w:rsidRPr="00EE6834">
        <w:rPr>
          <w:b/>
        </w:rPr>
        <w:tab/>
      </w:r>
      <w:r w:rsidRPr="00EE6834">
        <w:rPr>
          <w:b/>
        </w:rPr>
        <w:tab/>
        <w:t>Vasas Ágostonné</w:t>
      </w:r>
    </w:p>
    <w:p w:rsidR="00CB13B7" w:rsidRPr="00EE6834" w:rsidRDefault="00CB13B7" w:rsidP="00CB13B7">
      <w:pPr>
        <w:tabs>
          <w:tab w:val="center" w:pos="1710"/>
          <w:tab w:val="center" w:pos="6840"/>
        </w:tabs>
        <w:overflowPunct w:val="0"/>
        <w:autoSpaceDE w:val="0"/>
        <w:adjustRightInd w:val="0"/>
        <w:jc w:val="both"/>
        <w:rPr>
          <w:b/>
        </w:rPr>
      </w:pPr>
      <w:r w:rsidRPr="00EE6834">
        <w:rPr>
          <w:b/>
        </w:rPr>
        <w:t>polgármester</w:t>
      </w:r>
      <w:r w:rsidRPr="00EE6834">
        <w:rPr>
          <w:b/>
        </w:rPr>
        <w:tab/>
      </w:r>
      <w:r w:rsidRPr="00EE6834">
        <w:rPr>
          <w:b/>
        </w:rPr>
        <w:tab/>
        <w:t>jegyző</w:t>
      </w:r>
      <w:r w:rsidRPr="00EE6834">
        <w:rPr>
          <w:b/>
        </w:rPr>
        <w:tab/>
      </w:r>
    </w:p>
    <w:p w:rsidR="00CB13B7" w:rsidRPr="00EE6834" w:rsidRDefault="00CB13B7" w:rsidP="00CB13B7">
      <w:pPr>
        <w:tabs>
          <w:tab w:val="center" w:pos="1710"/>
          <w:tab w:val="center" w:pos="6840"/>
        </w:tabs>
        <w:overflowPunct w:val="0"/>
        <w:autoSpaceDE w:val="0"/>
        <w:adjustRightInd w:val="0"/>
        <w:jc w:val="both"/>
        <w:rPr>
          <w:b/>
        </w:rPr>
      </w:pPr>
    </w:p>
    <w:p w:rsidR="00CB13B7" w:rsidRPr="00EE6834" w:rsidRDefault="00CB13B7" w:rsidP="00CB13B7">
      <w:pPr>
        <w:tabs>
          <w:tab w:val="center" w:pos="1710"/>
          <w:tab w:val="center" w:pos="6840"/>
        </w:tabs>
        <w:overflowPunct w:val="0"/>
        <w:autoSpaceDE w:val="0"/>
        <w:adjustRightInd w:val="0"/>
        <w:jc w:val="both"/>
        <w:rPr>
          <w:b/>
        </w:rPr>
      </w:pPr>
      <w:r w:rsidRPr="00EE6834">
        <w:rPr>
          <w:b/>
        </w:rPr>
        <w:t>A rendelet elfogadásra került:</w:t>
      </w:r>
      <w:r>
        <w:rPr>
          <w:b/>
        </w:rPr>
        <w:t xml:space="preserve"> </w:t>
      </w:r>
      <w:r w:rsidRPr="00EE6834">
        <w:rPr>
          <w:b/>
        </w:rPr>
        <w:t xml:space="preserve"> </w:t>
      </w:r>
      <w:r>
        <w:rPr>
          <w:b/>
        </w:rPr>
        <w:t>2015. szeptember 28.</w:t>
      </w:r>
    </w:p>
    <w:p w:rsidR="00CB13B7" w:rsidRPr="00EE6834" w:rsidRDefault="00CB13B7" w:rsidP="00CB13B7">
      <w:pPr>
        <w:tabs>
          <w:tab w:val="center" w:pos="1710"/>
          <w:tab w:val="center" w:pos="6840"/>
        </w:tabs>
        <w:overflowPunct w:val="0"/>
        <w:autoSpaceDE w:val="0"/>
        <w:adjustRightInd w:val="0"/>
        <w:jc w:val="both"/>
        <w:rPr>
          <w:b/>
        </w:rPr>
      </w:pPr>
      <w:r w:rsidRPr="00EE6834">
        <w:rPr>
          <w:b/>
        </w:rPr>
        <w:t>A rendelet kihirdetésre került:</w:t>
      </w:r>
      <w:r>
        <w:rPr>
          <w:b/>
        </w:rPr>
        <w:t xml:space="preserve"> 2015. szeptember 30.</w:t>
      </w:r>
    </w:p>
    <w:p w:rsidR="00CB13B7" w:rsidRDefault="00CB13B7" w:rsidP="00CB13B7">
      <w:pPr>
        <w:tabs>
          <w:tab w:val="center" w:pos="1710"/>
          <w:tab w:val="center" w:pos="6840"/>
        </w:tabs>
        <w:overflowPunct w:val="0"/>
        <w:autoSpaceDE w:val="0"/>
        <w:adjustRightInd w:val="0"/>
        <w:spacing w:line="276" w:lineRule="auto"/>
        <w:jc w:val="both"/>
        <w:rPr>
          <w:b/>
        </w:rPr>
      </w:pPr>
    </w:p>
    <w:p w:rsidR="006E1C63" w:rsidRDefault="00CB13B7" w:rsidP="00CB13B7">
      <w:pPr>
        <w:tabs>
          <w:tab w:val="center" w:pos="1710"/>
          <w:tab w:val="center" w:pos="6840"/>
        </w:tabs>
        <w:overflowPunct w:val="0"/>
        <w:autoSpaceDE w:val="0"/>
        <w:adjustRightInd w:val="0"/>
        <w:jc w:val="both"/>
      </w:pPr>
      <w:r w:rsidRPr="00EE6834">
        <w:rPr>
          <w:b/>
        </w:rPr>
        <w:lastRenderedPageBreak/>
        <w:t>Vasas Ágostonné jegyző</w:t>
      </w:r>
    </w:p>
    <w:sectPr w:rsidR="006E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3C" w:rsidRDefault="0072313C" w:rsidP="00FB3F23">
      <w:r>
        <w:separator/>
      </w:r>
    </w:p>
  </w:endnote>
  <w:endnote w:type="continuationSeparator" w:id="0">
    <w:p w:rsidR="0072313C" w:rsidRDefault="0072313C" w:rsidP="00FB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3C" w:rsidRDefault="0072313C" w:rsidP="00FB3F23">
      <w:r>
        <w:separator/>
      </w:r>
    </w:p>
  </w:footnote>
  <w:footnote w:type="continuationSeparator" w:id="0">
    <w:p w:rsidR="0072313C" w:rsidRDefault="0072313C" w:rsidP="00FB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3949"/>
    <w:multiLevelType w:val="hybridMultilevel"/>
    <w:tmpl w:val="CA281E20"/>
    <w:lvl w:ilvl="0" w:tplc="2EA6F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55E"/>
    <w:multiLevelType w:val="hybridMultilevel"/>
    <w:tmpl w:val="6BF869E0"/>
    <w:lvl w:ilvl="0" w:tplc="2EA6F3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76A0A"/>
    <w:multiLevelType w:val="hybridMultilevel"/>
    <w:tmpl w:val="1208129E"/>
    <w:lvl w:ilvl="0" w:tplc="FDA0753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7666B630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B7"/>
    <w:rsid w:val="00036F89"/>
    <w:rsid w:val="006E1C63"/>
    <w:rsid w:val="0072313C"/>
    <w:rsid w:val="00CB13B7"/>
    <w:rsid w:val="00D828BF"/>
    <w:rsid w:val="00FB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DFABC-701B-4D1B-A27C-B16F5F6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13B7"/>
    <w:pPr>
      <w:ind w:left="720"/>
      <w:contextualSpacing/>
    </w:pPr>
  </w:style>
  <w:style w:type="paragraph" w:customStyle="1" w:styleId="Default">
    <w:name w:val="Default"/>
    <w:rsid w:val="00CB13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3F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F23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B3F2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B3F2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B3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D155-A50F-4DBA-B944-8EC5E930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285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3</cp:revision>
  <cp:lastPrinted>2015-11-11T07:37:00Z</cp:lastPrinted>
  <dcterms:created xsi:type="dcterms:W3CDTF">2015-10-30T17:33:00Z</dcterms:created>
  <dcterms:modified xsi:type="dcterms:W3CDTF">2015-11-18T10:44:00Z</dcterms:modified>
</cp:coreProperties>
</file>