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BBC" w:rsidRPr="00DE0CB0" w:rsidRDefault="00915BBC" w:rsidP="00915BBC">
      <w:pPr>
        <w:jc w:val="center"/>
        <w:rPr>
          <w:b/>
        </w:rPr>
      </w:pPr>
      <w:bookmarkStart w:id="0" w:name="_GoBack"/>
      <w:bookmarkEnd w:id="0"/>
      <w:r>
        <w:rPr>
          <w:b/>
        </w:rPr>
        <w:t>Ostoros Községi</w:t>
      </w:r>
      <w:r w:rsidRPr="00DE0CB0">
        <w:rPr>
          <w:b/>
        </w:rPr>
        <w:t xml:space="preserve"> Önkormányzat</w:t>
      </w:r>
      <w:r>
        <w:rPr>
          <w:b/>
        </w:rPr>
        <w:t xml:space="preserve"> </w:t>
      </w:r>
      <w:r w:rsidRPr="00DE0CB0">
        <w:rPr>
          <w:b/>
        </w:rPr>
        <w:t>Képviselő-testületének</w:t>
      </w:r>
    </w:p>
    <w:p w:rsidR="00915BBC" w:rsidRPr="00DE0CB0" w:rsidRDefault="00915BBC" w:rsidP="00915BBC">
      <w:pPr>
        <w:jc w:val="center"/>
        <w:rPr>
          <w:b/>
        </w:rPr>
      </w:pPr>
      <w:r>
        <w:rPr>
          <w:b/>
        </w:rPr>
        <w:t>7/2017. (IV.28.)</w:t>
      </w:r>
      <w:r w:rsidRPr="00DE0CB0">
        <w:rPr>
          <w:b/>
        </w:rPr>
        <w:t xml:space="preserve"> önkormányzati rendelete</w:t>
      </w:r>
    </w:p>
    <w:p w:rsidR="00915BBC" w:rsidRDefault="00915BBC" w:rsidP="00915BBC">
      <w:pPr>
        <w:jc w:val="center"/>
        <w:rPr>
          <w:b/>
        </w:rPr>
      </w:pPr>
      <w:r w:rsidRPr="00A86238">
        <w:rPr>
          <w:b/>
        </w:rPr>
        <w:t>egyes anyakönyvi események engedélyezésének szabályairól, és az eseményekhez kapcsolódó többletszolgáltatásért fizetendő díjak mértékéről</w:t>
      </w:r>
    </w:p>
    <w:p w:rsidR="00586973" w:rsidRDefault="00586973" w:rsidP="00915BBC">
      <w:pPr>
        <w:jc w:val="center"/>
        <w:rPr>
          <w:b/>
        </w:rPr>
      </w:pPr>
      <w:r>
        <w:rPr>
          <w:b/>
        </w:rPr>
        <w:t>(egységes szerkezetben 2017.06.22.)</w:t>
      </w:r>
    </w:p>
    <w:p w:rsidR="00915BBC" w:rsidRDefault="00915BBC" w:rsidP="00915BBC">
      <w:pPr>
        <w:jc w:val="both"/>
      </w:pPr>
    </w:p>
    <w:p w:rsidR="00915BBC" w:rsidRDefault="00915BBC" w:rsidP="00915BBC">
      <w:pPr>
        <w:jc w:val="both"/>
      </w:pPr>
      <w:bookmarkStart w:id="1" w:name="_Hlk485614996"/>
      <w:r>
        <w:t xml:space="preserve">Ostoros Községi Önkormányzat Képviselő-testülete az </w:t>
      </w:r>
      <w:r w:rsidRPr="00E060CF">
        <w:t>anyakönyv</w:t>
      </w:r>
      <w:r>
        <w:t xml:space="preserve">i eljárásról szóló 2010. évi I. törvény 96. § a) és b) pontjában kapott felhatalmazás alapján, az </w:t>
      </w:r>
      <w:r w:rsidRPr="00E060CF">
        <w:t>anyakönyv</w:t>
      </w:r>
      <w:r>
        <w:t>i eljárásról szóló 2010. évi I. törvény 19. §-</w:t>
      </w:r>
      <w:proofErr w:type="spellStart"/>
      <w:r>
        <w:t>ában</w:t>
      </w:r>
      <w:proofErr w:type="spellEnd"/>
      <w:r>
        <w:t xml:space="preserve"> meghatározott feladatkörében eljárva a következőket rendeli el:</w:t>
      </w:r>
    </w:p>
    <w:p w:rsidR="00915BBC" w:rsidRDefault="00915BBC" w:rsidP="00915BBC">
      <w:pPr>
        <w:jc w:val="center"/>
        <w:rPr>
          <w:b/>
        </w:rPr>
      </w:pPr>
    </w:p>
    <w:p w:rsidR="00915BBC" w:rsidRPr="00246404" w:rsidRDefault="00915BBC" w:rsidP="00915BBC">
      <w:pPr>
        <w:jc w:val="center"/>
        <w:rPr>
          <w:b/>
        </w:rPr>
      </w:pPr>
      <w:r>
        <w:rPr>
          <w:b/>
        </w:rPr>
        <w:t>Általános és é</w:t>
      </w:r>
      <w:r w:rsidRPr="00246404">
        <w:rPr>
          <w:b/>
        </w:rPr>
        <w:t>rtelmező rendelkezések</w:t>
      </w:r>
    </w:p>
    <w:p w:rsidR="00915BBC" w:rsidRPr="001C2190" w:rsidRDefault="00915BBC" w:rsidP="00915BBC">
      <w:pPr>
        <w:jc w:val="center"/>
        <w:rPr>
          <w:b/>
        </w:rPr>
      </w:pPr>
      <w:r>
        <w:rPr>
          <w:b/>
        </w:rPr>
        <w:t>1</w:t>
      </w:r>
      <w:r w:rsidRPr="001C2190">
        <w:rPr>
          <w:b/>
        </w:rPr>
        <w:t>. §</w:t>
      </w:r>
    </w:p>
    <w:p w:rsidR="00915BBC" w:rsidRDefault="00915BBC" w:rsidP="00915BBC">
      <w:pPr>
        <w:jc w:val="both"/>
      </w:pPr>
    </w:p>
    <w:p w:rsidR="00915BBC" w:rsidRPr="00894304" w:rsidRDefault="00915BBC" w:rsidP="00915BBC">
      <w:pPr>
        <w:jc w:val="both"/>
      </w:pPr>
      <w:r w:rsidRPr="00894304">
        <w:t>E rendelet alkalmazásában:</w:t>
      </w:r>
    </w:p>
    <w:p w:rsidR="00915BBC" w:rsidRPr="00894304" w:rsidRDefault="00915BBC" w:rsidP="00915BBC">
      <w:pPr>
        <w:jc w:val="both"/>
      </w:pPr>
    </w:p>
    <w:p w:rsidR="00915BBC" w:rsidRPr="00894304" w:rsidRDefault="00B021D7" w:rsidP="00915BBC">
      <w:pPr>
        <w:pStyle w:val="Listaszerbekezds"/>
        <w:numPr>
          <w:ilvl w:val="0"/>
          <w:numId w:val="1"/>
        </w:numPr>
        <w:tabs>
          <w:tab w:val="clear" w:pos="720"/>
        </w:tabs>
        <w:overflowPunct/>
        <w:autoSpaceDE/>
        <w:autoSpaceDN/>
        <w:adjustRightInd/>
        <w:jc w:val="both"/>
        <w:textAlignment w:val="auto"/>
        <w:rPr>
          <w:szCs w:val="24"/>
        </w:rPr>
      </w:pPr>
      <w:r>
        <w:rPr>
          <w:rStyle w:val="Lbjegyzet-hivatkozs"/>
          <w:szCs w:val="24"/>
        </w:rPr>
        <w:footnoteReference w:id="1"/>
      </w:r>
      <w:r w:rsidR="00915BBC" w:rsidRPr="00894304">
        <w:rPr>
          <w:szCs w:val="24"/>
        </w:rPr>
        <w:t xml:space="preserve">anyakönyvi esemény: </w:t>
      </w:r>
      <w:r w:rsidR="00915BBC">
        <w:rPr>
          <w:szCs w:val="24"/>
        </w:rPr>
        <w:t xml:space="preserve">az </w:t>
      </w:r>
      <w:r w:rsidR="00915BBC" w:rsidRPr="00E060CF">
        <w:t>anyakönyv</w:t>
      </w:r>
      <w:r w:rsidR="00915BBC">
        <w:t xml:space="preserve">i eljárásról szóló 2010. évi I. törvény (továbbiakban: </w:t>
      </w:r>
      <w:proofErr w:type="spellStart"/>
      <w:r w:rsidR="00915BBC">
        <w:t>Atv</w:t>
      </w:r>
      <w:proofErr w:type="spellEnd"/>
      <w:r w:rsidR="00915BBC">
        <w:t xml:space="preserve">) 3. § b) pontjában meghatározott események, </w:t>
      </w:r>
    </w:p>
    <w:p w:rsidR="00915BBC" w:rsidRDefault="00B021D7" w:rsidP="00915BBC">
      <w:pPr>
        <w:pStyle w:val="Listaszerbekezds"/>
        <w:numPr>
          <w:ilvl w:val="0"/>
          <w:numId w:val="1"/>
        </w:numPr>
        <w:overflowPunct/>
        <w:autoSpaceDE/>
        <w:autoSpaceDN/>
        <w:adjustRightInd/>
        <w:jc w:val="both"/>
        <w:textAlignment w:val="auto"/>
        <w:rPr>
          <w:szCs w:val="24"/>
        </w:rPr>
      </w:pPr>
      <w:r>
        <w:rPr>
          <w:rStyle w:val="Lbjegyzet-hivatkozs"/>
        </w:rPr>
        <w:footnoteReference w:id="2"/>
      </w:r>
      <w:r w:rsidR="00915BBC">
        <w:t>h</w:t>
      </w:r>
      <w:r w:rsidR="00915BBC" w:rsidRPr="00894304">
        <w:t xml:space="preserve">ivatali helyiség: </w:t>
      </w:r>
      <w:r w:rsidR="00915BBC">
        <w:t>Ostoros Községi</w:t>
      </w:r>
      <w:r w:rsidR="00915BBC" w:rsidRPr="00894304">
        <w:t xml:space="preserve"> Önkormányzat </w:t>
      </w:r>
      <w:r w:rsidR="00915BBC">
        <w:t xml:space="preserve">(továbbiakban: Önkormányzat) </w:t>
      </w:r>
      <w:r w:rsidR="00915BBC" w:rsidRPr="00894304">
        <w:t>ál</w:t>
      </w:r>
      <w:r w:rsidR="00915BBC">
        <w:t>tal biztosított</w:t>
      </w:r>
      <w:r w:rsidR="00915BBC" w:rsidRPr="00894304">
        <w:t xml:space="preserve"> </w:t>
      </w:r>
      <w:r>
        <w:t>házasságkötés</w:t>
      </w:r>
      <w:r w:rsidR="00915BBC" w:rsidRPr="00894304">
        <w:t xml:space="preserve"> lebonyolítására alkalmas hivatali helyiség</w:t>
      </w:r>
      <w:r w:rsidR="00915BBC">
        <w:t xml:space="preserve">: </w:t>
      </w:r>
      <w:proofErr w:type="spellStart"/>
      <w:r w:rsidR="00915BBC">
        <w:t>Rédei</w:t>
      </w:r>
      <w:proofErr w:type="spellEnd"/>
      <w:r w:rsidR="00915BBC">
        <w:t xml:space="preserve"> Miklós Közösségi Ház helyiségei (3326 Ostoros, Szent István tér 2.)</w:t>
      </w:r>
      <w:r w:rsidR="00915BBC" w:rsidRPr="00894304">
        <w:rPr>
          <w:szCs w:val="24"/>
        </w:rPr>
        <w:t xml:space="preserve"> </w:t>
      </w:r>
    </w:p>
    <w:p w:rsidR="00915BBC" w:rsidRPr="00894304" w:rsidRDefault="00915BBC" w:rsidP="00915BBC">
      <w:pPr>
        <w:pStyle w:val="Listaszerbekezds"/>
        <w:numPr>
          <w:ilvl w:val="0"/>
          <w:numId w:val="1"/>
        </w:numPr>
        <w:overflowPunct/>
        <w:autoSpaceDE/>
        <w:autoSpaceDN/>
        <w:adjustRightInd/>
        <w:jc w:val="both"/>
        <w:textAlignment w:val="auto"/>
        <w:rPr>
          <w:szCs w:val="24"/>
        </w:rPr>
      </w:pPr>
      <w:r w:rsidRPr="00894304">
        <w:rPr>
          <w:szCs w:val="24"/>
        </w:rPr>
        <w:t xml:space="preserve">hivatali munkaidő: </w:t>
      </w:r>
      <w:r>
        <w:rPr>
          <w:szCs w:val="24"/>
        </w:rPr>
        <w:t xml:space="preserve">Ostoros Községi Önkormányzat Képviselő-testületének </w:t>
      </w:r>
      <w:r w:rsidRPr="00894304">
        <w:rPr>
          <w:szCs w:val="24"/>
        </w:rPr>
        <w:t xml:space="preserve">Szervezeti és Működési Szabályzatában </w:t>
      </w:r>
      <w:r>
        <w:rPr>
          <w:szCs w:val="24"/>
        </w:rPr>
        <w:t xml:space="preserve">az Ostorosi Közös Önkormányzati Hivatalra </w:t>
      </w:r>
      <w:r w:rsidRPr="00894304">
        <w:rPr>
          <w:szCs w:val="24"/>
        </w:rPr>
        <w:t>meghatározott munkarend.</w:t>
      </w:r>
    </w:p>
    <w:p w:rsidR="00915BBC" w:rsidRDefault="00915BBC" w:rsidP="00915BBC"/>
    <w:p w:rsidR="00915BBC" w:rsidRDefault="00915BBC" w:rsidP="00915BBC">
      <w:pPr>
        <w:jc w:val="center"/>
        <w:rPr>
          <w:b/>
        </w:rPr>
      </w:pPr>
      <w:r>
        <w:rPr>
          <w:b/>
        </w:rPr>
        <w:t>2</w:t>
      </w:r>
      <w:r w:rsidRPr="005B047C">
        <w:rPr>
          <w:b/>
        </w:rPr>
        <w:t>. §</w:t>
      </w:r>
    </w:p>
    <w:p w:rsidR="00915BBC" w:rsidRPr="005B047C" w:rsidRDefault="00915BBC" w:rsidP="00915BBC">
      <w:pPr>
        <w:ind w:hanging="567"/>
        <w:jc w:val="center"/>
        <w:rPr>
          <w:b/>
        </w:rPr>
      </w:pPr>
    </w:p>
    <w:p w:rsidR="00915BBC" w:rsidRDefault="00B021D7" w:rsidP="00915BBC">
      <w:pPr>
        <w:numPr>
          <w:ilvl w:val="0"/>
          <w:numId w:val="2"/>
        </w:numPr>
        <w:ind w:hanging="750"/>
        <w:jc w:val="both"/>
      </w:pPr>
      <w:r>
        <w:rPr>
          <w:rStyle w:val="Lbjegyzet-hivatkozs"/>
        </w:rPr>
        <w:footnoteReference w:id="3"/>
      </w:r>
      <w:r>
        <w:t>Házasságkötés</w:t>
      </w:r>
      <w:r w:rsidR="00915BBC">
        <w:t xml:space="preserve"> – az </w:t>
      </w:r>
      <w:proofErr w:type="spellStart"/>
      <w:r w:rsidR="00915BBC">
        <w:t>Atv</w:t>
      </w:r>
      <w:proofErr w:type="spellEnd"/>
      <w:r w:rsidR="00915BBC">
        <w:t>-ben meghatározott kivételekkel - h</w:t>
      </w:r>
      <w:r w:rsidR="00915BBC" w:rsidRPr="006D048A">
        <w:t>ivatali munkaidőn kívül</w:t>
      </w:r>
      <w:r w:rsidR="00915BBC">
        <w:t xml:space="preserve"> 19.00 óráig engedélyezhető</w:t>
      </w:r>
      <w:r w:rsidR="00915BBC" w:rsidRPr="006D048A">
        <w:t>.</w:t>
      </w:r>
    </w:p>
    <w:p w:rsidR="00915BBC" w:rsidRDefault="00915BBC" w:rsidP="00915BBC">
      <w:pPr>
        <w:ind w:left="750" w:hanging="750"/>
        <w:jc w:val="both"/>
      </w:pPr>
    </w:p>
    <w:p w:rsidR="00915BBC" w:rsidRDefault="00C26FA7" w:rsidP="00915BBC">
      <w:pPr>
        <w:numPr>
          <w:ilvl w:val="0"/>
          <w:numId w:val="2"/>
        </w:numPr>
        <w:ind w:hanging="750"/>
        <w:jc w:val="both"/>
      </w:pPr>
      <w:r>
        <w:rPr>
          <w:rStyle w:val="Lbjegyzet-hivatkozs"/>
        </w:rPr>
        <w:footnoteReference w:id="4"/>
      </w:r>
      <w:r w:rsidRPr="00C26FA7">
        <w:t xml:space="preserve">Kérelemre a házasságkötés hivatali helyiségen kívüli helyszínen is megtartható, ha az esemény méltósága, tekintélye nem csorbul. A hivatali helyiségen kívüli házasságkötés az </w:t>
      </w:r>
      <w:proofErr w:type="spellStart"/>
      <w:r w:rsidRPr="00C26FA7">
        <w:t>Atv</w:t>
      </w:r>
      <w:proofErr w:type="spellEnd"/>
      <w:r w:rsidRPr="00C26FA7">
        <w:t>., valamint e rendelet szabályai szerint engedélyezhető</w:t>
      </w:r>
      <w:r>
        <w:t xml:space="preserve"> </w:t>
      </w:r>
    </w:p>
    <w:p w:rsidR="00C26FA7" w:rsidRDefault="00C26FA7" w:rsidP="00C26FA7">
      <w:pPr>
        <w:pStyle w:val="Listaszerbekezds"/>
      </w:pPr>
    </w:p>
    <w:p w:rsidR="00915BBC" w:rsidRDefault="00B021D7" w:rsidP="00915BBC">
      <w:pPr>
        <w:numPr>
          <w:ilvl w:val="0"/>
          <w:numId w:val="2"/>
        </w:numPr>
        <w:ind w:hanging="750"/>
        <w:jc w:val="both"/>
      </w:pPr>
      <w:r>
        <w:rPr>
          <w:rStyle w:val="Lbjegyzet-hivatkozs"/>
        </w:rPr>
        <w:footnoteReference w:id="5"/>
      </w:r>
      <w:r w:rsidR="00915BBC">
        <w:t xml:space="preserve">Sem a hivatali helyiségen kívüli, sem a hivatali munkaidőn kívüli </w:t>
      </w:r>
      <w:r>
        <w:t xml:space="preserve">házasságkötés </w:t>
      </w:r>
      <w:r w:rsidR="00915BBC">
        <w:t xml:space="preserve">a hivatali helyiségbe már jegyzőkönyvvel előjegyzésbe vett </w:t>
      </w:r>
      <w:r>
        <w:t xml:space="preserve">házasságkötések lebonyolítását </w:t>
      </w:r>
      <w:r w:rsidR="00915BBC">
        <w:t>nem veszélyeztetheti.</w:t>
      </w:r>
    </w:p>
    <w:p w:rsidR="00915BBC" w:rsidRDefault="00915BBC" w:rsidP="00915BBC">
      <w:pPr>
        <w:ind w:hanging="567"/>
        <w:jc w:val="both"/>
      </w:pPr>
    </w:p>
    <w:p w:rsidR="00915BBC" w:rsidRDefault="00915BBC" w:rsidP="00915BBC">
      <w:pPr>
        <w:jc w:val="center"/>
        <w:rPr>
          <w:b/>
        </w:rPr>
      </w:pPr>
      <w:r>
        <w:rPr>
          <w:b/>
        </w:rPr>
        <w:t>Díjfizetési kötelezettség</w:t>
      </w:r>
    </w:p>
    <w:p w:rsidR="00915BBC" w:rsidRPr="005B047C" w:rsidRDefault="00915BBC" w:rsidP="00915BBC">
      <w:pPr>
        <w:jc w:val="center"/>
        <w:rPr>
          <w:b/>
        </w:rPr>
      </w:pPr>
      <w:r>
        <w:rPr>
          <w:b/>
        </w:rPr>
        <w:t>3</w:t>
      </w:r>
      <w:r w:rsidRPr="005B047C">
        <w:rPr>
          <w:b/>
        </w:rPr>
        <w:t>. §</w:t>
      </w:r>
      <w:r w:rsidR="00B021D7">
        <w:rPr>
          <w:rStyle w:val="Lbjegyzet-hivatkozs"/>
          <w:b/>
        </w:rPr>
        <w:footnoteReference w:id="6"/>
      </w:r>
    </w:p>
    <w:p w:rsidR="00915BBC" w:rsidRPr="00821211" w:rsidRDefault="00915BBC" w:rsidP="00915BBC">
      <w:pPr>
        <w:jc w:val="center"/>
      </w:pPr>
    </w:p>
    <w:p w:rsidR="00915BBC" w:rsidRDefault="00B021D7" w:rsidP="00C827A1">
      <w:pPr>
        <w:numPr>
          <w:ilvl w:val="0"/>
          <w:numId w:val="3"/>
        </w:numPr>
        <w:autoSpaceDE w:val="0"/>
        <w:autoSpaceDN w:val="0"/>
        <w:adjustRightInd w:val="0"/>
        <w:ind w:hanging="720"/>
        <w:jc w:val="both"/>
      </w:pPr>
      <w:r>
        <w:t xml:space="preserve">Házasságkötés </w:t>
      </w:r>
      <w:r w:rsidR="00915BBC">
        <w:t>hivatali helyiségen kívüli lebonyolításáért Húszezer forint mértékű díjat kell fizetni az Önkormányzat részére, mely az anyakönyvvezető helyszínre történő kiszállásának többletköltségét foglalja magába. Az alapszolgáltatáson felüli egyéb szolgáltatás igénybevételére külön megállapodás alapján van lehetőség.</w:t>
      </w:r>
    </w:p>
    <w:p w:rsidR="00915BBC" w:rsidRDefault="00915BBC" w:rsidP="00915BBC">
      <w:pPr>
        <w:autoSpaceDE w:val="0"/>
        <w:autoSpaceDN w:val="0"/>
        <w:adjustRightInd w:val="0"/>
        <w:jc w:val="both"/>
      </w:pPr>
    </w:p>
    <w:p w:rsidR="00915BBC" w:rsidRDefault="00B021D7" w:rsidP="00C827A1">
      <w:pPr>
        <w:numPr>
          <w:ilvl w:val="0"/>
          <w:numId w:val="3"/>
        </w:numPr>
        <w:autoSpaceDE w:val="0"/>
        <w:autoSpaceDN w:val="0"/>
        <w:adjustRightInd w:val="0"/>
        <w:ind w:hanging="720"/>
        <w:jc w:val="both"/>
      </w:pPr>
      <w:r>
        <w:t xml:space="preserve">Házasságkötés </w:t>
      </w:r>
      <w:r w:rsidR="00915BBC">
        <w:t>munkaidőn kívül történő kötése esetén a többletszolgáltatás ellentételezéseként Tizenötezer forint mértékű díjat kell fizetni az Önkormányzat részére.</w:t>
      </w:r>
    </w:p>
    <w:p w:rsidR="00915BBC" w:rsidRDefault="00915BBC" w:rsidP="00C827A1">
      <w:pPr>
        <w:autoSpaceDE w:val="0"/>
        <w:autoSpaceDN w:val="0"/>
        <w:adjustRightInd w:val="0"/>
        <w:ind w:hanging="720"/>
        <w:jc w:val="both"/>
      </w:pPr>
    </w:p>
    <w:p w:rsidR="00915BBC" w:rsidRDefault="00915BBC" w:rsidP="00C827A1">
      <w:pPr>
        <w:numPr>
          <w:ilvl w:val="0"/>
          <w:numId w:val="3"/>
        </w:numPr>
        <w:autoSpaceDE w:val="0"/>
        <w:autoSpaceDN w:val="0"/>
        <w:adjustRightInd w:val="0"/>
        <w:ind w:hanging="720"/>
        <w:jc w:val="both"/>
      </w:pPr>
      <w:r>
        <w:t xml:space="preserve">A házasulók valamelyikének közeli halállal fenyegető egészségi állapota esetében a szociális intézményben, továbbá lakáson lebonyolított </w:t>
      </w:r>
      <w:r w:rsidR="00B021D7">
        <w:t xml:space="preserve">házasságkötés </w:t>
      </w:r>
      <w:r>
        <w:t>térítésmentes.</w:t>
      </w:r>
    </w:p>
    <w:p w:rsidR="00915BBC" w:rsidRDefault="00915BBC" w:rsidP="00C827A1">
      <w:pPr>
        <w:autoSpaceDE w:val="0"/>
        <w:autoSpaceDN w:val="0"/>
        <w:adjustRightInd w:val="0"/>
        <w:ind w:hanging="720"/>
        <w:jc w:val="both"/>
      </w:pPr>
      <w:r>
        <w:t xml:space="preserve"> </w:t>
      </w:r>
    </w:p>
    <w:p w:rsidR="00915BBC" w:rsidRPr="002603C9" w:rsidRDefault="00915BBC" w:rsidP="00915BBC">
      <w:pPr>
        <w:autoSpaceDE w:val="0"/>
        <w:autoSpaceDN w:val="0"/>
        <w:adjustRightInd w:val="0"/>
        <w:jc w:val="center"/>
        <w:rPr>
          <w:b/>
        </w:rPr>
      </w:pPr>
      <w:r w:rsidRPr="002603C9">
        <w:rPr>
          <w:b/>
        </w:rPr>
        <w:t>Anyakönyvvezető részére fizetendő díjazás</w:t>
      </w:r>
    </w:p>
    <w:p w:rsidR="00915BBC" w:rsidRPr="005B047C" w:rsidRDefault="00915BBC" w:rsidP="00915BBC">
      <w:pPr>
        <w:autoSpaceDE w:val="0"/>
        <w:autoSpaceDN w:val="0"/>
        <w:adjustRightInd w:val="0"/>
        <w:jc w:val="center"/>
        <w:rPr>
          <w:b/>
        </w:rPr>
      </w:pPr>
      <w:r>
        <w:rPr>
          <w:b/>
        </w:rPr>
        <w:t>4</w:t>
      </w:r>
      <w:r w:rsidRPr="005B047C">
        <w:rPr>
          <w:b/>
        </w:rPr>
        <w:t>. §</w:t>
      </w:r>
      <w:r w:rsidR="00366B29">
        <w:rPr>
          <w:rStyle w:val="Lbjegyzet-hivatkozs"/>
          <w:b/>
        </w:rPr>
        <w:footnoteReference w:id="7"/>
      </w:r>
    </w:p>
    <w:p w:rsidR="00915BBC" w:rsidRDefault="00915BBC" w:rsidP="00915BBC">
      <w:pPr>
        <w:ind w:firstLine="170"/>
        <w:jc w:val="both"/>
      </w:pPr>
    </w:p>
    <w:p w:rsidR="00915BBC" w:rsidRDefault="00915BBC" w:rsidP="00915BBC">
      <w:pPr>
        <w:jc w:val="both"/>
      </w:pPr>
      <w:r w:rsidRPr="00D954AB">
        <w:t>A hivatali munkaidőn kívül történő</w:t>
      </w:r>
      <w:r w:rsidRPr="00D954AB">
        <w:rPr>
          <w:rFonts w:eastAsia="TimesNewRoman"/>
        </w:rPr>
        <w:t xml:space="preserve"> </w:t>
      </w:r>
      <w:r w:rsidR="00366B29">
        <w:rPr>
          <w:rFonts w:eastAsia="TimesNewRoman"/>
        </w:rPr>
        <w:t xml:space="preserve">házasságkötés </w:t>
      </w:r>
      <w:r w:rsidRPr="00D954AB">
        <w:t>lebonyolításában közreműköd</w:t>
      </w:r>
      <w:r w:rsidRPr="00D954AB">
        <w:rPr>
          <w:rFonts w:eastAsia="TimesNewRoman"/>
        </w:rPr>
        <w:t xml:space="preserve">ő </w:t>
      </w:r>
      <w:r w:rsidRPr="00D954AB">
        <w:t xml:space="preserve">anyakönyvvezetőt eseményenként </w:t>
      </w:r>
      <w:r>
        <w:t>– választása szerint - a közszolgálati tisztviselők jogállásáról szóló 2011. évi CXCIX. törvény szerinti szabadidő vagy bruttó Tízezer forint</w:t>
      </w:r>
      <w:r w:rsidRPr="00D954AB">
        <w:t xml:space="preserve"> díjazás illeti meg.</w:t>
      </w:r>
    </w:p>
    <w:p w:rsidR="00915BBC" w:rsidRDefault="00915BBC" w:rsidP="00915BBC">
      <w:pPr>
        <w:jc w:val="both"/>
      </w:pPr>
    </w:p>
    <w:p w:rsidR="00915BBC" w:rsidRDefault="00915BBC" w:rsidP="00915BBC">
      <w:pPr>
        <w:jc w:val="center"/>
        <w:rPr>
          <w:b/>
        </w:rPr>
      </w:pPr>
      <w:r w:rsidRPr="00345BD2">
        <w:rPr>
          <w:b/>
        </w:rPr>
        <w:t>Záró rendelkezések</w:t>
      </w:r>
    </w:p>
    <w:p w:rsidR="00915BBC" w:rsidRPr="005B047C" w:rsidRDefault="00915BBC" w:rsidP="00915BBC">
      <w:pPr>
        <w:jc w:val="center"/>
        <w:rPr>
          <w:b/>
        </w:rPr>
      </w:pPr>
      <w:r>
        <w:rPr>
          <w:b/>
        </w:rPr>
        <w:t>5</w:t>
      </w:r>
      <w:r w:rsidRPr="005B047C">
        <w:rPr>
          <w:b/>
        </w:rPr>
        <w:t xml:space="preserve">. </w:t>
      </w:r>
    </w:p>
    <w:p w:rsidR="00915BBC" w:rsidRDefault="00915BBC" w:rsidP="00915BBC">
      <w:pPr>
        <w:numPr>
          <w:ilvl w:val="0"/>
          <w:numId w:val="4"/>
        </w:numPr>
        <w:ind w:hanging="720"/>
        <w:jc w:val="both"/>
      </w:pPr>
      <w:r>
        <w:t>Ez a rendelet a kihirdetést követő napon lép hatályba.</w:t>
      </w:r>
    </w:p>
    <w:p w:rsidR="00915BBC" w:rsidRDefault="00915BBC" w:rsidP="00915BBC">
      <w:pPr>
        <w:jc w:val="both"/>
      </w:pPr>
    </w:p>
    <w:p w:rsidR="00915BBC" w:rsidRPr="00C41007" w:rsidRDefault="00915BBC" w:rsidP="00915BBC">
      <w:pPr>
        <w:numPr>
          <w:ilvl w:val="0"/>
          <w:numId w:val="4"/>
        </w:numPr>
        <w:ind w:hanging="720"/>
        <w:jc w:val="both"/>
      </w:pPr>
      <w:r>
        <w:t xml:space="preserve">Hatálybalépésével egyidejűleg az </w:t>
      </w:r>
      <w:r w:rsidRPr="00C41007">
        <w:t xml:space="preserve">egyes anyakönyvi események engedélyezésének szabályairól, és az eseményekhez kapcsolódó többletszolgáltatásért fizetendő díjak mértékéről </w:t>
      </w:r>
      <w:r>
        <w:t xml:space="preserve">szóló </w:t>
      </w:r>
      <w:r w:rsidRPr="00C41007">
        <w:t>2/2011. (II.8.) önkormányzati rendelet</w:t>
      </w:r>
      <w:r>
        <w:t xml:space="preserve"> hatályát veszti.</w:t>
      </w:r>
    </w:p>
    <w:p w:rsidR="00915BBC" w:rsidRDefault="00915BBC" w:rsidP="00915BBC">
      <w:pPr>
        <w:tabs>
          <w:tab w:val="left" w:pos="637"/>
          <w:tab w:val="left" w:pos="8625"/>
        </w:tabs>
        <w:rPr>
          <w:highlight w:val="yellow"/>
        </w:rPr>
      </w:pPr>
    </w:p>
    <w:p w:rsidR="00915BBC" w:rsidRPr="003D7D77" w:rsidRDefault="00915BBC" w:rsidP="00915BBC">
      <w:pPr>
        <w:tabs>
          <w:tab w:val="left" w:pos="637"/>
          <w:tab w:val="left" w:pos="8625"/>
        </w:tabs>
        <w:rPr>
          <w:highlight w:val="yellow"/>
        </w:rPr>
      </w:pPr>
    </w:p>
    <w:p w:rsidR="00915BBC" w:rsidRPr="00CA07CD" w:rsidRDefault="00915BBC" w:rsidP="00915BBC">
      <w:pPr>
        <w:tabs>
          <w:tab w:val="left" w:pos="637"/>
          <w:tab w:val="left" w:pos="8625"/>
        </w:tabs>
        <w:rPr>
          <w:b/>
          <w:highlight w:val="yellow"/>
        </w:rPr>
      </w:pPr>
    </w:p>
    <w:tbl>
      <w:tblPr>
        <w:tblW w:w="0" w:type="auto"/>
        <w:jc w:val="center"/>
        <w:tblLook w:val="04A0" w:firstRow="1" w:lastRow="0" w:firstColumn="1" w:lastColumn="0" w:noHBand="0" w:noVBand="1"/>
      </w:tblPr>
      <w:tblGrid>
        <w:gridCol w:w="4546"/>
        <w:gridCol w:w="4526"/>
      </w:tblGrid>
      <w:tr w:rsidR="00915BBC" w:rsidRPr="00CA07CD" w:rsidTr="00C944B3">
        <w:trPr>
          <w:jc w:val="center"/>
        </w:trPr>
        <w:tc>
          <w:tcPr>
            <w:tcW w:w="4773" w:type="dxa"/>
          </w:tcPr>
          <w:p w:rsidR="00915BBC" w:rsidRPr="00CA07CD" w:rsidRDefault="00915BBC" w:rsidP="00C944B3">
            <w:pPr>
              <w:tabs>
                <w:tab w:val="left" w:pos="637"/>
                <w:tab w:val="left" w:pos="8625"/>
              </w:tabs>
              <w:rPr>
                <w:b/>
                <w:highlight w:val="yellow"/>
              </w:rPr>
            </w:pPr>
            <w:r w:rsidRPr="00CA07CD">
              <w:rPr>
                <w:b/>
              </w:rPr>
              <w:t>Böjt László</w:t>
            </w:r>
          </w:p>
        </w:tc>
        <w:tc>
          <w:tcPr>
            <w:tcW w:w="4773" w:type="dxa"/>
          </w:tcPr>
          <w:p w:rsidR="00915BBC" w:rsidRPr="00CA07CD" w:rsidRDefault="00915BBC" w:rsidP="00C944B3">
            <w:pPr>
              <w:tabs>
                <w:tab w:val="left" w:pos="637"/>
                <w:tab w:val="left" w:pos="8625"/>
              </w:tabs>
              <w:jc w:val="center"/>
              <w:rPr>
                <w:b/>
              </w:rPr>
            </w:pPr>
            <w:r w:rsidRPr="00CA07CD">
              <w:rPr>
                <w:b/>
              </w:rPr>
              <w:t>Vasas Ágostonné</w:t>
            </w:r>
          </w:p>
        </w:tc>
      </w:tr>
      <w:tr w:rsidR="00915BBC" w:rsidRPr="00CA07CD" w:rsidTr="00C944B3">
        <w:trPr>
          <w:jc w:val="center"/>
        </w:trPr>
        <w:tc>
          <w:tcPr>
            <w:tcW w:w="4773" w:type="dxa"/>
          </w:tcPr>
          <w:p w:rsidR="00915BBC" w:rsidRPr="00CA07CD" w:rsidRDefault="00915BBC" w:rsidP="00C944B3">
            <w:pPr>
              <w:tabs>
                <w:tab w:val="left" w:pos="637"/>
                <w:tab w:val="left" w:pos="8625"/>
              </w:tabs>
              <w:rPr>
                <w:b/>
                <w:highlight w:val="yellow"/>
              </w:rPr>
            </w:pPr>
            <w:r w:rsidRPr="00CA07CD">
              <w:rPr>
                <w:b/>
              </w:rPr>
              <w:t>polgármester</w:t>
            </w:r>
          </w:p>
        </w:tc>
        <w:tc>
          <w:tcPr>
            <w:tcW w:w="4773" w:type="dxa"/>
          </w:tcPr>
          <w:p w:rsidR="00915BBC" w:rsidRPr="00CA07CD" w:rsidRDefault="00915BBC" w:rsidP="00C944B3">
            <w:pPr>
              <w:tabs>
                <w:tab w:val="left" w:pos="637"/>
                <w:tab w:val="left" w:pos="8625"/>
              </w:tabs>
              <w:jc w:val="center"/>
              <w:rPr>
                <w:b/>
              </w:rPr>
            </w:pPr>
            <w:r w:rsidRPr="00CA07CD">
              <w:rPr>
                <w:b/>
              </w:rPr>
              <w:t>jegyző</w:t>
            </w:r>
          </w:p>
        </w:tc>
      </w:tr>
      <w:bookmarkEnd w:id="1"/>
      <w:tr w:rsidR="00915BBC" w:rsidRPr="00CA07CD" w:rsidTr="00C944B3">
        <w:trPr>
          <w:jc w:val="center"/>
        </w:trPr>
        <w:tc>
          <w:tcPr>
            <w:tcW w:w="4773" w:type="dxa"/>
          </w:tcPr>
          <w:p w:rsidR="00915BBC" w:rsidRPr="00CA07CD" w:rsidRDefault="00915BBC" w:rsidP="00C944B3">
            <w:pPr>
              <w:tabs>
                <w:tab w:val="left" w:pos="637"/>
                <w:tab w:val="left" w:pos="8625"/>
              </w:tabs>
              <w:rPr>
                <w:b/>
              </w:rPr>
            </w:pPr>
          </w:p>
        </w:tc>
        <w:tc>
          <w:tcPr>
            <w:tcW w:w="4773" w:type="dxa"/>
          </w:tcPr>
          <w:p w:rsidR="00915BBC" w:rsidRPr="00CA07CD" w:rsidRDefault="00915BBC" w:rsidP="00C944B3">
            <w:pPr>
              <w:tabs>
                <w:tab w:val="left" w:pos="637"/>
                <w:tab w:val="left" w:pos="8625"/>
              </w:tabs>
              <w:jc w:val="center"/>
              <w:rPr>
                <w:b/>
              </w:rPr>
            </w:pPr>
          </w:p>
        </w:tc>
      </w:tr>
    </w:tbl>
    <w:p w:rsidR="00915BBC" w:rsidRDefault="00915BBC" w:rsidP="00915BBC"/>
    <w:p w:rsidR="00915BBC" w:rsidRPr="00CA07CD" w:rsidRDefault="00915BBC" w:rsidP="00915BBC">
      <w:pPr>
        <w:rPr>
          <w:b/>
        </w:rPr>
      </w:pPr>
      <w:r w:rsidRPr="00CA07CD">
        <w:rPr>
          <w:b/>
        </w:rPr>
        <w:t>A rendelet elfogadásra került:</w:t>
      </w:r>
      <w:r w:rsidR="007C24D8">
        <w:rPr>
          <w:b/>
        </w:rPr>
        <w:t xml:space="preserve"> 2017. április 24.</w:t>
      </w:r>
    </w:p>
    <w:p w:rsidR="00915BBC" w:rsidRDefault="00915BBC" w:rsidP="00915BBC">
      <w:pPr>
        <w:rPr>
          <w:b/>
        </w:rPr>
      </w:pPr>
      <w:r w:rsidRPr="00CA07CD">
        <w:rPr>
          <w:b/>
        </w:rPr>
        <w:t>A rendelet kihirdetésre került:</w:t>
      </w:r>
      <w:r w:rsidR="007C24D8">
        <w:rPr>
          <w:b/>
        </w:rPr>
        <w:t xml:space="preserve"> 2017. április 28.</w:t>
      </w:r>
    </w:p>
    <w:p w:rsidR="00915BBC" w:rsidRDefault="00915BBC" w:rsidP="00915BBC">
      <w:pPr>
        <w:rPr>
          <w:b/>
        </w:rPr>
      </w:pPr>
    </w:p>
    <w:p w:rsidR="00915BBC" w:rsidRDefault="00915BBC" w:rsidP="00915BBC">
      <w:pPr>
        <w:rPr>
          <w:b/>
        </w:rPr>
      </w:pPr>
    </w:p>
    <w:p w:rsidR="00915BBC" w:rsidRDefault="00915BBC" w:rsidP="00915BBC">
      <w:pPr>
        <w:rPr>
          <w:b/>
        </w:rPr>
      </w:pPr>
    </w:p>
    <w:p w:rsidR="00C4533A" w:rsidRDefault="00C4533A"/>
    <w:sectPr w:rsidR="00C453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B9D" w:rsidRDefault="004B1B9D" w:rsidP="00C26FA7">
      <w:r>
        <w:separator/>
      </w:r>
    </w:p>
  </w:endnote>
  <w:endnote w:type="continuationSeparator" w:id="0">
    <w:p w:rsidR="004B1B9D" w:rsidRDefault="004B1B9D" w:rsidP="00C2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B9D" w:rsidRDefault="004B1B9D" w:rsidP="00C26FA7">
      <w:r>
        <w:separator/>
      </w:r>
    </w:p>
  </w:footnote>
  <w:footnote w:type="continuationSeparator" w:id="0">
    <w:p w:rsidR="004B1B9D" w:rsidRDefault="004B1B9D" w:rsidP="00C26FA7">
      <w:r>
        <w:continuationSeparator/>
      </w:r>
    </w:p>
  </w:footnote>
  <w:footnote w:id="1">
    <w:p w:rsidR="00B021D7" w:rsidRDefault="00B021D7">
      <w:pPr>
        <w:pStyle w:val="Lbjegyzetszveg"/>
      </w:pPr>
      <w:r>
        <w:rPr>
          <w:rStyle w:val="Lbjegyzet-hivatkozs"/>
        </w:rPr>
        <w:footnoteRef/>
      </w:r>
      <w:r>
        <w:t xml:space="preserve"> Hatályon kívül helyezte a 10/2017.(VI.21.) önkormányzati rendelet 3. §-a. Hatálytalan: 2017.06.22-től</w:t>
      </w:r>
    </w:p>
  </w:footnote>
  <w:footnote w:id="2">
    <w:p w:rsidR="00B021D7" w:rsidRDefault="00B021D7">
      <w:pPr>
        <w:pStyle w:val="Lbjegyzetszveg"/>
      </w:pPr>
      <w:r>
        <w:rPr>
          <w:rStyle w:val="Lbjegyzet-hivatkozs"/>
        </w:rPr>
        <w:footnoteRef/>
      </w:r>
      <w:r>
        <w:t xml:space="preserve"> Módosította a 10/2017.(VI.21.) önkormányzati rendelet 2. §-a. Hatályos 2017.06.22-től.</w:t>
      </w:r>
    </w:p>
  </w:footnote>
  <w:footnote w:id="3">
    <w:p w:rsidR="00B021D7" w:rsidRDefault="00B021D7">
      <w:pPr>
        <w:pStyle w:val="Lbjegyzetszveg"/>
      </w:pPr>
      <w:r>
        <w:rPr>
          <w:rStyle w:val="Lbjegyzet-hivatkozs"/>
        </w:rPr>
        <w:footnoteRef/>
      </w:r>
      <w:r>
        <w:t xml:space="preserve"> Módosította a 10/2017.(VI.21.) önkormányzati rendelet 2. §-a. Hatályos 2017.06.22-től.</w:t>
      </w:r>
    </w:p>
  </w:footnote>
  <w:footnote w:id="4">
    <w:p w:rsidR="00C26FA7" w:rsidRDefault="00C26FA7">
      <w:pPr>
        <w:pStyle w:val="Lbjegyzetszveg"/>
      </w:pPr>
      <w:r>
        <w:rPr>
          <w:rStyle w:val="Lbjegyzet-hivatkozs"/>
        </w:rPr>
        <w:footnoteRef/>
      </w:r>
      <w:r>
        <w:t xml:space="preserve"> Módosította a 10/2017.(VI.21.) önkormányzati rendelet 1. §-a. Hatályos 2017.06.22-től.</w:t>
      </w:r>
    </w:p>
  </w:footnote>
  <w:footnote w:id="5">
    <w:p w:rsidR="00B021D7" w:rsidRDefault="00B021D7">
      <w:pPr>
        <w:pStyle w:val="Lbjegyzetszveg"/>
      </w:pPr>
      <w:r>
        <w:rPr>
          <w:rStyle w:val="Lbjegyzet-hivatkozs"/>
        </w:rPr>
        <w:footnoteRef/>
      </w:r>
      <w:r>
        <w:t xml:space="preserve"> Módosította a 10/2017.(VI.21.) önkormányzati rendelet 2. §-a. Hatályos 2017.06.22-től.</w:t>
      </w:r>
    </w:p>
  </w:footnote>
  <w:footnote w:id="6">
    <w:p w:rsidR="00B021D7" w:rsidRDefault="00B021D7">
      <w:pPr>
        <w:pStyle w:val="Lbjegyzetszveg"/>
      </w:pPr>
      <w:r>
        <w:rPr>
          <w:rStyle w:val="Lbjegyzet-hivatkozs"/>
        </w:rPr>
        <w:footnoteRef/>
      </w:r>
      <w:r>
        <w:t xml:space="preserve"> Módosította a 10/2017.(VI.21.) önkormányzati rendelet 2. §-a. Hatályos 2017.06.22-től.</w:t>
      </w:r>
    </w:p>
  </w:footnote>
  <w:footnote w:id="7">
    <w:p w:rsidR="00366B29" w:rsidRDefault="00366B29">
      <w:pPr>
        <w:pStyle w:val="Lbjegyzetszveg"/>
      </w:pPr>
      <w:r>
        <w:rPr>
          <w:rStyle w:val="Lbjegyzet-hivatkozs"/>
        </w:rPr>
        <w:footnoteRef/>
      </w:r>
      <w:r>
        <w:t xml:space="preserve"> Módosította a 10/2017.(VI.21.) önkormányzati rendelet 2. §-a. Hatályos 2017.06.22-től.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234"/>
    <w:multiLevelType w:val="hybridMultilevel"/>
    <w:tmpl w:val="35A67104"/>
    <w:lvl w:ilvl="0" w:tplc="F8BE458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857448"/>
    <w:multiLevelType w:val="hybridMultilevel"/>
    <w:tmpl w:val="B44EAD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DFA1663"/>
    <w:multiLevelType w:val="hybridMultilevel"/>
    <w:tmpl w:val="589E3D56"/>
    <w:lvl w:ilvl="0" w:tplc="9B7457EE">
      <w:start w:val="1"/>
      <w:numFmt w:val="lowerLetter"/>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8DF44E4"/>
    <w:multiLevelType w:val="hybridMultilevel"/>
    <w:tmpl w:val="E4C2AB08"/>
    <w:lvl w:ilvl="0" w:tplc="DE7E1EAA">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7385323"/>
    <w:multiLevelType w:val="hybridMultilevel"/>
    <w:tmpl w:val="CB46D178"/>
    <w:lvl w:ilvl="0" w:tplc="5404AA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BC"/>
    <w:rsid w:val="00160016"/>
    <w:rsid w:val="00366B29"/>
    <w:rsid w:val="004B1B9D"/>
    <w:rsid w:val="00586973"/>
    <w:rsid w:val="006064D9"/>
    <w:rsid w:val="007C24D8"/>
    <w:rsid w:val="00915BBC"/>
    <w:rsid w:val="00934317"/>
    <w:rsid w:val="009D6119"/>
    <w:rsid w:val="00A03BB3"/>
    <w:rsid w:val="00B021D7"/>
    <w:rsid w:val="00C26FA7"/>
    <w:rsid w:val="00C4533A"/>
    <w:rsid w:val="00C7091A"/>
    <w:rsid w:val="00C827A1"/>
    <w:rsid w:val="00C944B3"/>
    <w:rsid w:val="00EC0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D2F02-3BCC-4012-908B-E656BA2A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15BB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915BBC"/>
    <w:pPr>
      <w:overflowPunct w:val="0"/>
      <w:autoSpaceDE w:val="0"/>
      <w:autoSpaceDN w:val="0"/>
      <w:adjustRightInd w:val="0"/>
      <w:ind w:left="720"/>
      <w:contextualSpacing/>
      <w:textAlignment w:val="baseline"/>
    </w:pPr>
    <w:rPr>
      <w:szCs w:val="20"/>
    </w:rPr>
  </w:style>
  <w:style w:type="paragraph" w:styleId="Buborkszveg">
    <w:name w:val="Balloon Text"/>
    <w:basedOn w:val="Norml"/>
    <w:link w:val="BuborkszvegChar"/>
    <w:uiPriority w:val="99"/>
    <w:semiHidden/>
    <w:unhideWhenUsed/>
    <w:rsid w:val="00A03BB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03BB3"/>
    <w:rPr>
      <w:rFonts w:ascii="Segoe UI" w:eastAsia="Times New Roman" w:hAnsi="Segoe UI" w:cs="Segoe UI"/>
      <w:sz w:val="18"/>
      <w:szCs w:val="18"/>
      <w:lang w:eastAsia="hu-HU"/>
    </w:rPr>
  </w:style>
  <w:style w:type="paragraph" w:styleId="Lbjegyzetszveg">
    <w:name w:val="footnote text"/>
    <w:basedOn w:val="Norml"/>
    <w:link w:val="LbjegyzetszvegChar"/>
    <w:uiPriority w:val="99"/>
    <w:semiHidden/>
    <w:unhideWhenUsed/>
    <w:rsid w:val="00C26FA7"/>
    <w:rPr>
      <w:sz w:val="20"/>
      <w:szCs w:val="20"/>
    </w:rPr>
  </w:style>
  <w:style w:type="character" w:customStyle="1" w:styleId="LbjegyzetszvegChar">
    <w:name w:val="Lábjegyzetszöveg Char"/>
    <w:basedOn w:val="Bekezdsalapbettpusa"/>
    <w:link w:val="Lbjegyzetszveg"/>
    <w:uiPriority w:val="99"/>
    <w:semiHidden/>
    <w:rsid w:val="00C26FA7"/>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C26F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66B8-5247-432B-A70A-8FA3C1ED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2794</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Zsóka</dc:creator>
  <cp:keywords/>
  <dc:description/>
  <cp:lastModifiedBy>Zsóka</cp:lastModifiedBy>
  <cp:revision>2</cp:revision>
  <cp:lastPrinted>2017-06-19T11:18:00Z</cp:lastPrinted>
  <dcterms:created xsi:type="dcterms:W3CDTF">2017-10-26T17:06:00Z</dcterms:created>
  <dcterms:modified xsi:type="dcterms:W3CDTF">2017-10-26T17:06:00Z</dcterms:modified>
</cp:coreProperties>
</file>